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0" w:beforeLines="0" w:beforeAutospacing="0" w:after="0" w:afterLines="0" w:afterAutospacing="0" w:line="420" w:lineRule="atLeast"/>
        <w:ind w:left="840" w:right="0" w:hanging="210"/>
        <w:jc w:val="left"/>
        <w:rPr>
          <w:rFonts w:hint="eastAsia" w:ascii="ＭＳ 明朝" w:hAnsi="ＭＳ 明朝" w:eastAsia="ＭＳ 明朝"/>
          <w:b w:val="0"/>
          <w:i w:val="0"/>
          <w:strike w:val="0"/>
          <w:color w:val="000000"/>
          <w:u w:val="none"/>
        </w:rPr>
      </w:pPr>
      <w:bookmarkStart w:id="0" w:name="_GoBack"/>
      <w:bookmarkEnd w:id="0"/>
      <w:r>
        <w:rPr>
          <w:rFonts w:hint="eastAsia" w:ascii="ＭＳ 明朝" w:hAnsi="ＭＳ 明朝" w:eastAsia="ＭＳ 明朝"/>
          <w:b w:val="0"/>
          <w:i w:val="0"/>
          <w:strike w:val="0"/>
          <w:color w:val="000000"/>
          <w:sz w:val="21"/>
          <w:u w:val="none"/>
        </w:rPr>
        <w:t>○大子町地区計画の区域内における建築物の制限に関する要綱</w:t>
      </w:r>
    </w:p>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平成２８年２月２９日</w:t>
      </w:r>
    </w:p>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eastAsia" w:ascii="ＭＳ 明朝" w:hAnsi="ＭＳ 明朝" w:eastAsia="ＭＳ 明朝"/>
          <w:b w:val="0"/>
          <w:i w:val="0"/>
          <w:strike w:val="0"/>
          <w:color w:val="000000"/>
          <w:sz w:val="21"/>
          <w:u w:val="none"/>
        </w:rPr>
        <w:t>告示第５―２号</w:t>
      </w:r>
    </w:p>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改正　令和７年４月１日</w:t>
      </w:r>
      <w:r>
        <w:rPr>
          <w:rFonts w:hint="eastAsia" w:ascii="ＭＳ 明朝" w:hAnsi="ＭＳ 明朝" w:eastAsia="ＭＳ 明朝"/>
          <w:b w:val="0"/>
          <w:i w:val="0"/>
          <w:strike w:val="0"/>
          <w:color w:val="000000"/>
          <w:sz w:val="21"/>
          <w:u w:val="none"/>
        </w:rPr>
        <w:t>告示第３３―１２号</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（目的）</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条　この要綱は、地区計画の区域内における建築物の用途、建築物又は工作物（以下「建築物等」という。）の形態又は意匠に関し必要な事項を定めることにより、当該区域における適正で健全な集落環境機能を確保することを目的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（定義）</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条　この要綱で使用する用語の意義は、建築基準法（昭和２５年法律第２０１号。以下「法」という。）及び建築基準法施行令（昭和２５年政令第３３８号。以下「政令」という。）で使用する用語の例による。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（適用区域）</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条　この要綱は、別表第１に掲げる地区計画が定められている区域（以下「地区計画区域」という。）に適用する。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（建築物の用途の制限）</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4</w:t>
      </w:r>
      <w:r>
        <w:rPr>
          <w:rFonts w:hint="default" w:ascii="ＭＳ 明朝" w:hAnsi="ＭＳ 明朝" w:eastAsia="ＭＳ 明朝"/>
          <w:b w:val="0"/>
          <w:i w:val="0"/>
          <w:strike w:val="0"/>
          <w:color w:val="000000"/>
          <w:sz w:val="21"/>
          <w:u w:val="none"/>
        </w:rPr>
        <w:t>条　地区計画区域内においては、地区の区分に応じ、別表第２の建築物の用途の制限の項に掲げる建築物は、建築してはならない。</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（建築物等の形態意匠の制限）</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5</w:t>
      </w:r>
      <w:r>
        <w:rPr>
          <w:rFonts w:hint="default" w:ascii="ＭＳ 明朝" w:hAnsi="ＭＳ 明朝" w:eastAsia="ＭＳ 明朝"/>
          <w:b w:val="0"/>
          <w:i w:val="0"/>
          <w:strike w:val="0"/>
          <w:color w:val="000000"/>
          <w:sz w:val="21"/>
          <w:u w:val="none"/>
        </w:rPr>
        <w:t>条　地区計画区域内においては、地区の区分に応じ、建築物等の形態又は意匠は、別表第２に掲げる制限に適合するものでなくてはならない。</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（適用の除外）</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6</w:t>
      </w:r>
      <w:r>
        <w:rPr>
          <w:rFonts w:hint="default" w:ascii="ＭＳ 明朝" w:hAnsi="ＭＳ 明朝" w:eastAsia="ＭＳ 明朝"/>
          <w:b w:val="0"/>
          <w:i w:val="0"/>
          <w:strike w:val="0"/>
          <w:color w:val="000000"/>
          <w:sz w:val="21"/>
          <w:u w:val="none"/>
        </w:rPr>
        <w:t>条　第４条に規定する建築物の用途の制限又は第５条に規定する建築物等の形態若しくは意匠の制限に該当する建築物等について、町長が周辺の環境を害する恐れがないと認めたとき、又は公益上やむを得ないと認めたときは、第４条又は第５条の規定は、適用しない。</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（委任）</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7</w:t>
      </w:r>
      <w:r>
        <w:rPr>
          <w:rFonts w:hint="default" w:ascii="ＭＳ 明朝" w:hAnsi="ＭＳ 明朝" w:eastAsia="ＭＳ 明朝"/>
          <w:b w:val="0"/>
          <w:i w:val="0"/>
          <w:strike w:val="0"/>
          <w:color w:val="000000"/>
          <w:sz w:val="21"/>
          <w:u w:val="none"/>
        </w:rPr>
        <w:t>条　この要綱に定めるもののほか、この要綱の施行に関し必要な事項は、町長が別に定める。</w:t>
      </w:r>
    </w:p>
    <w:p>
      <w:pPr>
        <w:pStyle w:val="0"/>
        <w:spacing w:before="0" w:beforeLines="0" w:beforeAutospacing="0" w:after="0" w:afterLines="0" w:afterAutospacing="0" w:line="420" w:lineRule="atLeast"/>
        <w:ind w:left="63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附　則</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（施行期日）</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この告示は、平成２８年４月７日から施行する。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（経過措置）</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この告示の規定は、この告示の施行の日以後に建築又は設置された建築物等について適用する。</w:t>
      </w:r>
    </w:p>
    <w:p>
      <w:pPr>
        <w:pStyle w:val="0"/>
        <w:spacing w:before="0" w:beforeLines="0" w:beforeAutospacing="0" w:after="0" w:afterLines="0" w:afterAutospacing="0" w:line="420" w:lineRule="atLeast"/>
        <w:ind w:left="63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附　則（令和７年</w:t>
      </w:r>
      <w:r>
        <w:rPr>
          <w:rFonts w:hint="eastAsia" w:ascii="ＭＳ 明朝" w:hAnsi="ＭＳ 明朝" w:eastAsia="ＭＳ 明朝"/>
          <w:b w:val="0"/>
          <w:i w:val="0"/>
          <w:strike w:val="0"/>
          <w:color w:val="000000"/>
          <w:sz w:val="21"/>
          <w:u w:val="none"/>
        </w:rPr>
        <w:t>告示第３３―１２号）</w:t>
      </w:r>
    </w:p>
    <w:p>
      <w:pPr>
        <w:pStyle w:val="0"/>
        <w:spacing w:before="0" w:beforeLines="0" w:beforeAutospacing="0" w:after="0" w:afterLines="0" w:afterAutospacing="0" w:line="420" w:lineRule="atLeast"/>
        <w:ind w:left="0" w:right="0" w:firstLine="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この告示は、令和７年４月１日から施行する。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別表第</w:t>
      </w: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（第３条関係）</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2086"/>
        <w:gridCol w:w="6984"/>
      </w:tblGrid>
      <w:tr>
        <w:trPr/>
        <w:tc>
          <w:tcPr>
            <w:tcW w:w="20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地区の名称</w:t>
            </w:r>
          </w:p>
        </w:tc>
        <w:tc>
          <w:tcPr>
            <w:tcW w:w="6984"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地区計画の区域</w:t>
            </w:r>
          </w:p>
        </w:tc>
      </w:tr>
      <w:tr>
        <w:trPr/>
        <w:tc>
          <w:tcPr>
            <w:tcW w:w="2086" w:type="dxa"/>
            <w:tcBorders>
              <w:top w:val="nil"/>
              <w:left w:val="single" w:color="000000" w:sz="4" w:space="0"/>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大子駅前地区地区計画区域</w:t>
            </w:r>
          </w:p>
        </w:tc>
        <w:tc>
          <w:tcPr>
            <w:tcW w:w="6984"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都市計画法（昭和４３年法律第１００号）第２０条第１項の規定により告示された大子駅前地区地区計画区域のうち、地区計画が定められた区域</w:t>
            </w:r>
          </w:p>
        </w:tc>
      </w:tr>
    </w:tbl>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別表第</w:t>
      </w: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（第４条、第５条関係）</w:t>
      </w:r>
    </w:p>
    <w:p>
      <w:pPr>
        <w:pStyle w:val="0"/>
        <w:spacing w:before="0" w:beforeLines="0" w:beforeAutospacing="0" w:after="0" w:afterLines="0" w:afterAutospacing="0" w:line="420" w:lineRule="atLeast"/>
        <w:ind w:left="840" w:right="0" w:firstLine="0"/>
        <w:jc w:val="left"/>
        <w:rPr>
          <w:rFonts w:hint="eastAsia" w:ascii="ＭＳ 明朝" w:hAnsi="ＭＳ 明朝" w:eastAsia="ＭＳ 明朝"/>
          <w:b w:val="0"/>
          <w:i w:val="0"/>
          <w:strike w:val="0"/>
          <w:color w:val="000000"/>
          <w:u w:val="none"/>
        </w:rPr>
      </w:pPr>
      <w:r>
        <w:rPr>
          <w:rFonts w:hint="eastAsia" w:ascii="ＭＳ 明朝" w:hAnsi="ＭＳ 明朝" w:eastAsia="ＭＳ 明朝"/>
          <w:b w:val="0"/>
          <w:i w:val="0"/>
          <w:strike w:val="0"/>
          <w:color w:val="000000"/>
          <w:sz w:val="21"/>
          <w:u w:val="none"/>
        </w:rPr>
        <w:t>（令７告示３３―１２・全改）</w:t>
      </w:r>
    </w:p>
    <w:p>
      <w:pPr>
        <w:pStyle w:val="0"/>
        <w:spacing w:before="0" w:beforeLines="0" w:beforeAutospacing="0" w:after="0" w:afterLines="0" w:afterAutospacing="0" w:line="420" w:lineRule="atLeast"/>
        <w:ind w:left="42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地区の名称：大子駅前地区地区計画</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1542"/>
        <w:gridCol w:w="2539"/>
        <w:gridCol w:w="2539"/>
        <w:gridCol w:w="2449"/>
      </w:tblGrid>
      <w:tr>
        <w:trPr/>
        <w:tc>
          <w:tcPr>
            <w:tcW w:w="1542" w:type="dxa"/>
            <w:tcBorders>
              <w:top w:val="single" w:color="000000" w:sz="4" w:space="0"/>
              <w:left w:val="single" w:color="000000" w:sz="4" w:space="0"/>
              <w:bottom w:val="single" w:color="000000" w:sz="4" w:space="0"/>
              <w:right w:val="single" w:color="000000" w:sz="4" w:space="0"/>
              <w:tl2br w:val="single" w:color="000000" w:sz="4" w:space="0"/>
              <w:tr2bl w:val="none" w:color="auto" w:sz="0" w:space="0"/>
            </w:tcBorders>
            <w:vAlign w:val="top"/>
          </w:tcPr>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地区の区分</w:t>
            </w:r>
          </w:p>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eastAsia" w:ascii="ＭＳ 明朝" w:hAnsi="ＭＳ 明朝" w:eastAsia="ＭＳ 明朝"/>
                <w:b w:val="0"/>
                <w:i w:val="0"/>
                <w:strike w:val="0"/>
                <w:color w:val="000000"/>
                <w:sz w:val="21"/>
                <w:u w:val="none"/>
              </w:rPr>
              <w:t>​</w:t>
            </w:r>
          </w:p>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制限の区分</w:t>
            </w:r>
          </w:p>
        </w:tc>
        <w:tc>
          <w:tcPr>
            <w:tcW w:w="2539"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住宅地区</w:t>
            </w:r>
          </w:p>
        </w:tc>
        <w:tc>
          <w:tcPr>
            <w:tcW w:w="2539"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商業地区</w:t>
            </w:r>
          </w:p>
        </w:tc>
        <w:tc>
          <w:tcPr>
            <w:tcW w:w="2449"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防災交流地区</w:t>
            </w:r>
          </w:p>
        </w:tc>
      </w:tr>
      <w:tr>
        <w:trPr/>
        <w:tc>
          <w:tcPr>
            <w:tcW w:w="1542"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建築物等の用途の制限</w:t>
            </w:r>
          </w:p>
        </w:tc>
        <w:tc>
          <w:tcPr>
            <w:tcW w:w="253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建築してはならない建物</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畜舎</w:t>
            </w:r>
          </w:p>
        </w:tc>
        <w:tc>
          <w:tcPr>
            <w:tcW w:w="253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建築してはならない建物</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風俗営業等の規制及び業務の適正化に関する法律第２条第６項第４号に規定する営業の用に供するホテル又は旅館</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　倉庫業を営む倉庫</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（３）　畜舎</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建築してはならない建物</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風俗営業等の規制及び業務の適正化に関する法律第２条第６項第４号に規定する営業の用に供するホテル又は旅館</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　倉庫業を営む倉庫</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（３）　畜舎</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（４）　劇場、映画館、演芸場若しくは観覧場、ナイトクラブその他これに類する用途で建築基準法施行令第１３０条の９の２で定めるもの又は店舗、飲食店、展示場、遊技場、勝馬投票券発売所、場外車券売場その他これらに類する用途で建築基準法施行令第１３０条の８の２で定めるものに供する建築物で、その用途に供する部分（劇場、映画館、演芸場又は観覧場の用途に供する部分にあっては、客席の部分に限る。）の床面積の合計が１万</w:t>
            </w:r>
            <w:r>
              <w:rPr>
                <w:rFonts w:hint="default" w:ascii="ＭＳ 明朝" w:hAnsi="ＭＳ 明朝" w:eastAsia="ＭＳ 明朝"/>
                <w:b w:val="0"/>
                <w:i w:val="0"/>
                <w:strike w:val="0"/>
                <w:color w:val="000000"/>
                <w:sz w:val="21"/>
                <w:u w:val="none"/>
              </w:rPr>
              <w:t>m</w:t>
            </w:r>
            <w:r>
              <w:rPr>
                <w:rFonts w:hint="default" w:ascii="ＭＳ 明朝" w:hAnsi="ＭＳ 明朝" w:eastAsia="ＭＳ 明朝"/>
                <w:b w:val="0"/>
                <w:i w:val="0"/>
                <w:strike w:val="0"/>
                <w:color w:val="000000"/>
                <w:sz w:val="21"/>
                <w:u w:val="none"/>
                <w:vertAlign w:val="superscript"/>
              </w:rPr>
              <w:t>２</w:t>
            </w:r>
            <w:r>
              <w:rPr>
                <w:rFonts w:hint="default" w:ascii="ＭＳ 明朝" w:hAnsi="ＭＳ 明朝" w:eastAsia="ＭＳ 明朝"/>
                <w:b w:val="0"/>
                <w:i w:val="0"/>
                <w:strike w:val="0"/>
                <w:color w:val="000000"/>
                <w:sz w:val="21"/>
                <w:u w:val="none"/>
              </w:rPr>
              <w:t>を超えるもの。</w:t>
            </w:r>
          </w:p>
        </w:tc>
      </w:tr>
      <w:tr>
        <w:trPr/>
        <w:tc>
          <w:tcPr>
            <w:tcW w:w="1542" w:type="dxa"/>
            <w:tcBorders>
              <w:top w:val="nil"/>
              <w:left w:val="single" w:color="000000" w:sz="4" w:space="0"/>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建築物等の形態又は意匠の制限</w:t>
            </w:r>
          </w:p>
        </w:tc>
        <w:tc>
          <w:tcPr>
            <w:tcW w:w="2539"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建築物の外壁及び屋根は、刺激的な色彩又は装飾を避け、美観・風致を損なわないものとする。</w:t>
            </w:r>
          </w:p>
        </w:tc>
        <w:tc>
          <w:tcPr>
            <w:tcW w:w="2539"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建築物の外壁及び屋根は、刺激的な色彩又は装飾を避け、美観・風致を損なわないものとする。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　屋外広告塔や広告板、屋上設置物等は、周辺環境との調和に配慮したものとする。</w:t>
            </w:r>
          </w:p>
        </w:tc>
        <w:tc>
          <w:tcPr>
            <w:tcW w:w="2449"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　建築物の外壁及び屋根は、刺激的な色彩又は装飾を避け、美観・風致を損なわないものとする。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　屋外広告塔や広告板、屋上設置物等は、周辺環境との調和に配慮したものとする。</w:t>
            </w:r>
          </w:p>
        </w:tc>
      </w:tr>
    </w:tbl>
    <w:p>
      <w:pPr>
        <w:pStyle w:val="0"/>
        <w:spacing w:line="420" w:lineRule="atLeast"/>
        <w:ind w:left="0" w:right="0" w:firstLine="0"/>
        <w:jc w:val="left"/>
        <w:rPr>
          <w:rFonts w:hint="eastAsia" w:ascii="ＭＳ 明朝" w:hAnsi="ＭＳ 明朝" w:eastAsia="ＭＳ 明朝"/>
          <w:b w:val="0"/>
          <w:i w:val="0"/>
          <w:color w:val="000000"/>
        </w:rPr>
      </w:pPr>
      <w:bookmarkStart w:id="1" w:name="last"/>
      <w:bookmarkEnd w:id="1"/>
    </w:p>
    <w:sectPr>
      <w:pgSz w:w="11905" w:h="16837"/>
      <w:pgMar w:top="1133" w:right="1417" w:bottom="1417" w:left="1417" w:header="720" w:footer="720" w:gutter="0"/>
      <w:cols w:space="720"/>
      <w:textDirection w:val="lrTb"/>
      <w:docGrid w:type="linesAndChars" w:linePitch="476"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3"/>
  <w:drawingGridVerticalSpacing w:val="476"/>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autoSpaceDE w:val="0"/>
      <w:autoSpaceDN w:val="0"/>
      <w:adjustRightInd w:val="0"/>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4</Pages>
  <Words>12</Words>
  <Characters>1580</Characters>
  <Application>JUST Note</Application>
  <Lines>128</Lines>
  <Paragraphs>57</Paragraphs>
  <CharactersWithSpaces>1605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kensetsu03</cp:lastModifiedBy>
  <dcterms:created xsi:type="dcterms:W3CDTF">2026-10-28T07:35:00Z</dcterms:created>
  <dcterms:modified xsi:type="dcterms:W3CDTF">2026-01-29T23:05:02Z</dcterms:modified>
  <cp:revision>1</cp:revision>
</cp:coreProperties>
</file>